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70D6F">
      <w:pPr>
        <w:keepNext w:val="0"/>
        <w:keepLines w:val="0"/>
        <w:widowControl/>
        <w:suppressLineNumbers w:val="0"/>
        <w:jc w:val="center"/>
        <w:rPr>
          <w:rFonts w:hint="eastAsia" w:ascii="宋体" w:hAnsi="宋体" w:eastAsia="宋体" w:cs="宋体"/>
          <w:b/>
          <w:bCs/>
          <w:kern w:val="0"/>
          <w:sz w:val="30"/>
          <w:szCs w:val="30"/>
          <w:lang w:val="en-US" w:eastAsia="zh-CN" w:bidi="ar"/>
        </w:rPr>
      </w:pPr>
      <w:r>
        <w:rPr>
          <w:rFonts w:hint="eastAsia" w:ascii="宋体" w:hAnsi="宋体" w:eastAsia="宋体" w:cs="宋体"/>
          <w:b/>
          <w:bCs/>
          <w:kern w:val="0"/>
          <w:sz w:val="30"/>
          <w:szCs w:val="30"/>
          <w:lang w:val="en-US" w:eastAsia="zh-CN" w:bidi="ar"/>
        </w:rPr>
        <w:t>第六批建材行业重大科技攻关“揭榜挂帅”项目榜单</w:t>
      </w:r>
    </w:p>
    <w:p w14:paraId="7DF4735B">
      <w:pPr>
        <w:keepNext w:val="0"/>
        <w:keepLines w:val="0"/>
        <w:widowControl/>
        <w:suppressLineNumbers w:val="0"/>
        <w:jc w:val="center"/>
        <w:rPr>
          <w:rFonts w:hint="eastAsia" w:ascii="宋体" w:hAnsi="宋体" w:eastAsia="宋体" w:cs="宋体"/>
          <w:b/>
          <w:bCs/>
          <w:kern w:val="0"/>
          <w:sz w:val="30"/>
          <w:szCs w:val="30"/>
          <w:lang w:val="en-US" w:eastAsia="zh-CN" w:bidi="ar"/>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071"/>
        <w:gridCol w:w="7451"/>
      </w:tblGrid>
      <w:tr w14:paraId="06A67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71" w:type="dxa"/>
          </w:tcPr>
          <w:p w14:paraId="169872FD">
            <w:pPr>
              <w:keepNext w:val="0"/>
              <w:keepLines w:val="0"/>
              <w:widowControl/>
              <w:suppressLineNumbers w:val="0"/>
              <w:jc w:val="center"/>
              <w:rPr>
                <w:rFonts w:hint="eastAsia" w:ascii="宋体" w:hAnsi="宋体" w:eastAsia="宋体" w:cs="宋体"/>
                <w:b/>
                <w:bCs/>
                <w:kern w:val="0"/>
                <w:sz w:val="30"/>
                <w:szCs w:val="30"/>
                <w:vertAlign w:val="baseline"/>
                <w:lang w:val="en-US" w:eastAsia="zh-CN" w:bidi="ar"/>
              </w:rPr>
            </w:pPr>
            <w:r>
              <w:rPr>
                <w:rFonts w:hint="eastAsia" w:ascii="宋体" w:hAnsi="宋体" w:eastAsia="宋体" w:cs="宋体"/>
                <w:b/>
                <w:bCs/>
                <w:kern w:val="0"/>
                <w:sz w:val="30"/>
                <w:szCs w:val="30"/>
                <w:vertAlign w:val="baseline"/>
                <w:lang w:val="en-US" w:eastAsia="zh-CN" w:bidi="ar"/>
              </w:rPr>
              <w:t>序号</w:t>
            </w:r>
          </w:p>
        </w:tc>
        <w:tc>
          <w:tcPr>
            <w:tcW w:w="7451" w:type="dxa"/>
          </w:tcPr>
          <w:p w14:paraId="59899CDF">
            <w:pPr>
              <w:keepNext w:val="0"/>
              <w:keepLines w:val="0"/>
              <w:widowControl/>
              <w:suppressLineNumbers w:val="0"/>
              <w:jc w:val="center"/>
              <w:rPr>
                <w:rFonts w:hint="eastAsia" w:ascii="宋体" w:hAnsi="宋体" w:eastAsia="宋体" w:cs="宋体"/>
                <w:b/>
                <w:bCs/>
                <w:kern w:val="0"/>
                <w:sz w:val="30"/>
                <w:szCs w:val="30"/>
                <w:vertAlign w:val="baseline"/>
                <w:lang w:val="en-US" w:eastAsia="zh-CN" w:bidi="ar"/>
              </w:rPr>
            </w:pPr>
            <w:r>
              <w:rPr>
                <w:rFonts w:hint="eastAsia" w:ascii="宋体" w:hAnsi="宋体" w:eastAsia="宋体" w:cs="宋体"/>
                <w:b/>
                <w:bCs/>
                <w:kern w:val="0"/>
                <w:sz w:val="30"/>
                <w:szCs w:val="30"/>
                <w:vertAlign w:val="baseline"/>
                <w:lang w:val="en-US" w:eastAsia="zh-CN" w:bidi="ar"/>
              </w:rPr>
              <w:t>榜单方向及攻关目标</w:t>
            </w:r>
          </w:p>
        </w:tc>
      </w:tr>
      <w:tr w14:paraId="1218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71" w:type="dxa"/>
          </w:tcPr>
          <w:p w14:paraId="5E28A269">
            <w:pPr>
              <w:keepNext w:val="0"/>
              <w:keepLines w:val="0"/>
              <w:widowControl/>
              <w:suppressLineNumbers w:val="0"/>
              <w:jc w:val="center"/>
              <w:rPr>
                <w:rFonts w:hint="eastAsia" w:ascii="宋体" w:hAnsi="宋体" w:eastAsia="宋体" w:cs="宋体"/>
                <w:b/>
                <w:bCs/>
                <w:kern w:val="0"/>
                <w:sz w:val="30"/>
                <w:szCs w:val="30"/>
                <w:vertAlign w:val="baseline"/>
                <w:lang w:val="en-US" w:eastAsia="zh-CN" w:bidi="ar"/>
              </w:rPr>
            </w:pPr>
          </w:p>
          <w:p w14:paraId="7F3E5447">
            <w:pPr>
              <w:keepNext w:val="0"/>
              <w:keepLines w:val="0"/>
              <w:widowControl/>
              <w:suppressLineNumbers w:val="0"/>
              <w:jc w:val="center"/>
              <w:rPr>
                <w:rFonts w:hint="eastAsia" w:ascii="宋体" w:hAnsi="宋体" w:eastAsia="宋体" w:cs="宋体"/>
                <w:b/>
                <w:bCs/>
                <w:kern w:val="0"/>
                <w:sz w:val="30"/>
                <w:szCs w:val="30"/>
                <w:vertAlign w:val="baseline"/>
                <w:lang w:val="en-US" w:eastAsia="zh-CN" w:bidi="ar"/>
              </w:rPr>
            </w:pPr>
          </w:p>
          <w:p w14:paraId="6AD6E3DB">
            <w:pPr>
              <w:keepNext w:val="0"/>
              <w:keepLines w:val="0"/>
              <w:widowControl/>
              <w:suppressLineNumbers w:val="0"/>
              <w:jc w:val="center"/>
              <w:rPr>
                <w:rFonts w:hint="eastAsia" w:ascii="宋体" w:hAnsi="宋体" w:eastAsia="宋体" w:cs="宋体"/>
                <w:b/>
                <w:bCs/>
                <w:kern w:val="0"/>
                <w:sz w:val="30"/>
                <w:szCs w:val="30"/>
                <w:vertAlign w:val="baseline"/>
                <w:lang w:val="en-US" w:eastAsia="zh-CN" w:bidi="ar"/>
              </w:rPr>
            </w:pPr>
          </w:p>
          <w:p w14:paraId="5862F631">
            <w:pPr>
              <w:keepNext w:val="0"/>
              <w:keepLines w:val="0"/>
              <w:widowControl/>
              <w:suppressLineNumbers w:val="0"/>
              <w:jc w:val="center"/>
              <w:rPr>
                <w:rFonts w:hint="default" w:ascii="宋体" w:hAnsi="宋体" w:eastAsia="宋体" w:cs="宋体"/>
                <w:b/>
                <w:bCs/>
                <w:kern w:val="0"/>
                <w:sz w:val="30"/>
                <w:szCs w:val="30"/>
                <w:vertAlign w:val="baseline"/>
                <w:lang w:val="en-US" w:eastAsia="zh-CN" w:bidi="ar"/>
              </w:rPr>
            </w:pPr>
            <w:r>
              <w:rPr>
                <w:rFonts w:hint="eastAsia" w:ascii="宋体" w:hAnsi="宋体" w:eastAsia="宋体" w:cs="宋体"/>
                <w:b/>
                <w:bCs/>
                <w:kern w:val="0"/>
                <w:sz w:val="30"/>
                <w:szCs w:val="30"/>
                <w:vertAlign w:val="baseline"/>
                <w:lang w:val="en-US" w:eastAsia="zh-CN" w:bidi="ar"/>
              </w:rPr>
              <w:t>1</w:t>
            </w:r>
          </w:p>
        </w:tc>
        <w:tc>
          <w:tcPr>
            <w:tcW w:w="7451" w:type="dxa"/>
          </w:tcPr>
          <w:p w14:paraId="39230FE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i w:val="0"/>
                <w:iCs w:val="0"/>
                <w:caps w:val="0"/>
                <w:spacing w:val="8"/>
                <w:sz w:val="24"/>
                <w:szCs w:val="24"/>
                <w:shd w:val="clear" w:fill="FFFFFF"/>
              </w:rPr>
              <w:t>榜单方向：</w:t>
            </w:r>
            <w:r>
              <w:rPr>
                <w:rStyle w:val="6"/>
                <w:rFonts w:hint="eastAsia" w:ascii="宋体" w:hAnsi="宋体" w:eastAsia="宋体" w:cs="宋体"/>
                <w:b w:val="0"/>
                <w:bCs/>
                <w:i w:val="0"/>
                <w:iCs w:val="0"/>
                <w:caps w:val="0"/>
                <w:spacing w:val="8"/>
                <w:sz w:val="24"/>
                <w:szCs w:val="24"/>
                <w:shd w:val="clear" w:fill="FFFFFF"/>
              </w:rPr>
              <w:t>生物过程启示的陶瓷新材料制备技术创新</w:t>
            </w:r>
          </w:p>
          <w:p w14:paraId="6E572ED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i w:val="0"/>
                <w:iCs w:val="0"/>
                <w:caps w:val="0"/>
                <w:spacing w:val="8"/>
                <w:sz w:val="24"/>
                <w:szCs w:val="24"/>
                <w:shd w:val="clear" w:fill="FFFFFF"/>
              </w:rPr>
              <w:t>主要攻关目标：</w:t>
            </w:r>
            <w:r>
              <w:rPr>
                <w:rStyle w:val="6"/>
                <w:rFonts w:hint="eastAsia" w:ascii="宋体" w:hAnsi="宋体" w:eastAsia="宋体" w:cs="宋体"/>
                <w:b w:val="0"/>
                <w:bCs/>
                <w:i w:val="0"/>
                <w:iCs w:val="0"/>
                <w:caps w:val="0"/>
                <w:spacing w:val="8"/>
                <w:sz w:val="24"/>
                <w:szCs w:val="24"/>
                <w:shd w:val="clear" w:fill="FFFFFF"/>
              </w:rPr>
              <w:t>研究骨骼、牙齿等天然生物材料在温和条件下高效精准成核、生长和有序组装规律的生物过程，解析陶瓷新材料-生物界面动态演化与生物功能适配机制，揭示材料化学组成、微纳拓扑结构与力学性能的构效关系，建立面向特定需求的陶瓷材料设计准则，开发生物过程启示的陶瓷材料温和制备新技术，制备的陶瓷材料形状可定制化，尺寸达到5-10cm，抗弯强度80-160 MPa、维氏硬度3-8 GPa、弹性模量20-50 GPa，实现从传统加工向生物制造的范式变革。</w:t>
            </w:r>
          </w:p>
          <w:p w14:paraId="54821FA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lang w:val="en-US" w:eastAsia="zh-CN"/>
              </w:rPr>
            </w:pPr>
            <w:r>
              <w:rPr>
                <w:rStyle w:val="6"/>
                <w:rFonts w:hint="eastAsia" w:ascii="宋体" w:hAnsi="宋体" w:eastAsia="宋体" w:cs="宋体"/>
                <w:i w:val="0"/>
                <w:iCs w:val="0"/>
                <w:caps w:val="0"/>
                <w:spacing w:val="8"/>
                <w:sz w:val="24"/>
                <w:szCs w:val="24"/>
                <w:shd w:val="clear" w:fill="FFFFFF"/>
              </w:rPr>
              <w:t>完成时限：</w:t>
            </w:r>
            <w:r>
              <w:rPr>
                <w:rStyle w:val="6"/>
                <w:rFonts w:hint="eastAsia" w:ascii="宋体" w:hAnsi="宋体" w:eastAsia="宋体" w:cs="宋体"/>
                <w:b w:val="0"/>
                <w:bCs/>
                <w:i w:val="0"/>
                <w:iCs w:val="0"/>
                <w:caps w:val="0"/>
                <w:spacing w:val="8"/>
                <w:sz w:val="24"/>
                <w:szCs w:val="24"/>
                <w:shd w:val="clear" w:fill="FFFFFF"/>
              </w:rPr>
              <w:t>5年以内。</w:t>
            </w:r>
          </w:p>
        </w:tc>
      </w:tr>
      <w:tr w14:paraId="0C60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25" w:hRule="atLeast"/>
        </w:trPr>
        <w:tc>
          <w:tcPr>
            <w:tcW w:w="1071" w:type="dxa"/>
          </w:tcPr>
          <w:p w14:paraId="073CC715">
            <w:pPr>
              <w:keepNext w:val="0"/>
              <w:keepLines w:val="0"/>
              <w:widowControl/>
              <w:suppressLineNumbers w:val="0"/>
              <w:jc w:val="center"/>
              <w:rPr>
                <w:rFonts w:hint="eastAsia" w:ascii="宋体" w:hAnsi="宋体" w:eastAsia="宋体" w:cs="宋体"/>
                <w:b/>
                <w:bCs/>
                <w:kern w:val="0"/>
                <w:sz w:val="30"/>
                <w:szCs w:val="30"/>
                <w:vertAlign w:val="baseline"/>
                <w:lang w:val="en-US" w:eastAsia="zh-CN" w:bidi="ar"/>
              </w:rPr>
            </w:pPr>
          </w:p>
          <w:p w14:paraId="5E776F60">
            <w:pPr>
              <w:keepNext w:val="0"/>
              <w:keepLines w:val="0"/>
              <w:widowControl/>
              <w:suppressLineNumbers w:val="0"/>
              <w:jc w:val="center"/>
              <w:rPr>
                <w:rFonts w:hint="eastAsia" w:ascii="宋体" w:hAnsi="宋体" w:eastAsia="宋体" w:cs="宋体"/>
                <w:b/>
                <w:bCs/>
                <w:kern w:val="0"/>
                <w:sz w:val="30"/>
                <w:szCs w:val="30"/>
                <w:vertAlign w:val="baseline"/>
                <w:lang w:val="en-US" w:eastAsia="zh-CN" w:bidi="ar"/>
              </w:rPr>
            </w:pPr>
          </w:p>
          <w:p w14:paraId="46BECF5D">
            <w:pPr>
              <w:keepNext w:val="0"/>
              <w:keepLines w:val="0"/>
              <w:widowControl/>
              <w:suppressLineNumbers w:val="0"/>
              <w:jc w:val="center"/>
              <w:rPr>
                <w:rFonts w:hint="eastAsia" w:ascii="宋体" w:hAnsi="宋体" w:eastAsia="宋体" w:cs="宋体"/>
                <w:b/>
                <w:bCs/>
                <w:kern w:val="0"/>
                <w:sz w:val="30"/>
                <w:szCs w:val="30"/>
                <w:vertAlign w:val="baseline"/>
                <w:lang w:val="en-US" w:eastAsia="zh-CN" w:bidi="ar"/>
              </w:rPr>
            </w:pPr>
          </w:p>
          <w:p w14:paraId="2CCCD726">
            <w:pPr>
              <w:keepNext w:val="0"/>
              <w:keepLines w:val="0"/>
              <w:widowControl/>
              <w:suppressLineNumbers w:val="0"/>
              <w:jc w:val="center"/>
              <w:rPr>
                <w:rFonts w:hint="default" w:ascii="宋体" w:hAnsi="宋体" w:eastAsia="宋体" w:cs="宋体"/>
                <w:b/>
                <w:bCs/>
                <w:kern w:val="0"/>
                <w:sz w:val="30"/>
                <w:szCs w:val="30"/>
                <w:vertAlign w:val="baseline"/>
                <w:lang w:val="en-US" w:eastAsia="zh-CN" w:bidi="ar"/>
              </w:rPr>
            </w:pPr>
            <w:r>
              <w:rPr>
                <w:rFonts w:hint="eastAsia" w:ascii="宋体" w:hAnsi="宋体" w:eastAsia="宋体" w:cs="宋体"/>
                <w:b/>
                <w:bCs/>
                <w:kern w:val="0"/>
                <w:sz w:val="30"/>
                <w:szCs w:val="30"/>
                <w:vertAlign w:val="baseline"/>
                <w:lang w:val="en-US" w:eastAsia="zh-CN" w:bidi="ar"/>
              </w:rPr>
              <w:t>2</w:t>
            </w:r>
          </w:p>
        </w:tc>
        <w:tc>
          <w:tcPr>
            <w:tcW w:w="7451" w:type="dxa"/>
          </w:tcPr>
          <w:p w14:paraId="459B4F6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i w:val="0"/>
                <w:iCs w:val="0"/>
                <w:caps w:val="0"/>
                <w:spacing w:val="8"/>
                <w:sz w:val="24"/>
                <w:szCs w:val="24"/>
                <w:shd w:val="clear" w:fill="FFFFFF"/>
              </w:rPr>
              <w:t>榜单方向：</w:t>
            </w:r>
            <w:r>
              <w:rPr>
                <w:rStyle w:val="6"/>
                <w:rFonts w:hint="eastAsia" w:ascii="宋体" w:hAnsi="宋体" w:eastAsia="宋体" w:cs="宋体"/>
                <w:b w:val="0"/>
                <w:bCs/>
                <w:i w:val="0"/>
                <w:iCs w:val="0"/>
                <w:caps w:val="0"/>
                <w:spacing w:val="8"/>
                <w:sz w:val="24"/>
                <w:szCs w:val="24"/>
                <w:shd w:val="clear" w:fill="FFFFFF"/>
              </w:rPr>
              <w:t>基于无定形前驱体的光学级碳酸钙温和构筑基础理论与关键技术</w:t>
            </w:r>
          </w:p>
          <w:p w14:paraId="060985B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i w:val="0"/>
                <w:iCs w:val="0"/>
                <w:caps w:val="0"/>
                <w:spacing w:val="8"/>
                <w:sz w:val="24"/>
                <w:szCs w:val="24"/>
                <w:shd w:val="clear" w:fill="FFFFFF"/>
              </w:rPr>
              <w:t>主要攻关目标：</w:t>
            </w:r>
            <w:r>
              <w:rPr>
                <w:rStyle w:val="6"/>
                <w:rFonts w:hint="eastAsia" w:ascii="宋体" w:hAnsi="宋体" w:eastAsia="宋体" w:cs="宋体"/>
                <w:b w:val="0"/>
                <w:bCs/>
                <w:i w:val="0"/>
                <w:iCs w:val="0"/>
                <w:caps w:val="0"/>
                <w:spacing w:val="8"/>
                <w:sz w:val="24"/>
                <w:szCs w:val="24"/>
                <w:shd w:val="clear" w:fill="FFFFFF"/>
              </w:rPr>
              <w:t>围绕结合水活化与界面传质、颗粒界面消除与孔隙闭合、微纳向厘米级放大的非平衡动力学等关键科学问题开展研究，开发基于无定形前驱体压力介导融合与致密化的低温、低能耗制备方法，突破大尺寸光学级碳酸钙的温和可控制备技术，形成厘米级光学级碳酸钙制备与放大验证平台，制备的样品在可见光波段透过率≥90%、纳米压痕硬度≥2.8 GPa、弹性模量≥48 GPa，为高端偏振光学器件、透明耐磨与高透光涂层、以及生物医用材料提供新型无机材料支撑。</w:t>
            </w:r>
          </w:p>
          <w:p w14:paraId="409DB98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lang w:val="en-US" w:eastAsia="zh-CN"/>
              </w:rPr>
            </w:pPr>
            <w:r>
              <w:rPr>
                <w:rStyle w:val="6"/>
                <w:rFonts w:hint="eastAsia" w:ascii="宋体" w:hAnsi="宋体" w:eastAsia="宋体" w:cs="宋体"/>
                <w:i w:val="0"/>
                <w:iCs w:val="0"/>
                <w:caps w:val="0"/>
                <w:spacing w:val="8"/>
                <w:sz w:val="24"/>
                <w:szCs w:val="24"/>
                <w:shd w:val="clear" w:fill="FFFFFF"/>
              </w:rPr>
              <w:t>完成时限：</w:t>
            </w:r>
            <w:r>
              <w:rPr>
                <w:rStyle w:val="6"/>
                <w:rFonts w:hint="eastAsia" w:ascii="宋体" w:hAnsi="宋体" w:eastAsia="宋体" w:cs="宋体"/>
                <w:b w:val="0"/>
                <w:bCs/>
                <w:i w:val="0"/>
                <w:iCs w:val="0"/>
                <w:caps w:val="0"/>
                <w:spacing w:val="8"/>
                <w:sz w:val="24"/>
                <w:szCs w:val="24"/>
                <w:shd w:val="clear" w:fill="FFFFFF"/>
              </w:rPr>
              <w:t>5年以内。</w:t>
            </w:r>
          </w:p>
        </w:tc>
      </w:tr>
      <w:tr w14:paraId="1137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71" w:type="dxa"/>
          </w:tcPr>
          <w:p w14:paraId="027E059E">
            <w:pPr>
              <w:keepNext w:val="0"/>
              <w:keepLines w:val="0"/>
              <w:widowControl/>
              <w:suppressLineNumbers w:val="0"/>
              <w:jc w:val="left"/>
              <w:rPr>
                <w:rFonts w:hint="eastAsia" w:ascii="宋体" w:hAnsi="宋体" w:eastAsia="宋体" w:cs="宋体"/>
                <w:b/>
                <w:bCs/>
                <w:kern w:val="0"/>
                <w:sz w:val="30"/>
                <w:szCs w:val="30"/>
                <w:vertAlign w:val="baseline"/>
                <w:lang w:val="en-US" w:eastAsia="zh-CN" w:bidi="ar"/>
              </w:rPr>
            </w:pPr>
          </w:p>
          <w:p w14:paraId="607A282F">
            <w:pPr>
              <w:keepNext w:val="0"/>
              <w:keepLines w:val="0"/>
              <w:widowControl/>
              <w:suppressLineNumbers w:val="0"/>
              <w:jc w:val="left"/>
              <w:rPr>
                <w:rFonts w:hint="eastAsia" w:ascii="宋体" w:hAnsi="宋体" w:eastAsia="宋体" w:cs="宋体"/>
                <w:b/>
                <w:bCs/>
                <w:kern w:val="0"/>
                <w:sz w:val="30"/>
                <w:szCs w:val="30"/>
                <w:vertAlign w:val="baseline"/>
                <w:lang w:val="en-US" w:eastAsia="zh-CN" w:bidi="ar"/>
              </w:rPr>
            </w:pPr>
          </w:p>
          <w:p w14:paraId="579722B1">
            <w:pPr>
              <w:keepNext w:val="0"/>
              <w:keepLines w:val="0"/>
              <w:widowControl/>
              <w:suppressLineNumbers w:val="0"/>
              <w:jc w:val="center"/>
              <w:rPr>
                <w:rFonts w:hint="default" w:ascii="宋体" w:hAnsi="宋体" w:eastAsia="宋体" w:cs="宋体"/>
                <w:b/>
                <w:bCs/>
                <w:kern w:val="0"/>
                <w:sz w:val="30"/>
                <w:szCs w:val="30"/>
                <w:vertAlign w:val="baseline"/>
                <w:lang w:val="en-US" w:eastAsia="zh-CN" w:bidi="ar"/>
              </w:rPr>
            </w:pPr>
            <w:r>
              <w:rPr>
                <w:rFonts w:hint="eastAsia" w:ascii="宋体" w:hAnsi="宋体" w:eastAsia="宋体" w:cs="宋体"/>
                <w:b/>
                <w:bCs/>
                <w:kern w:val="0"/>
                <w:sz w:val="30"/>
                <w:szCs w:val="30"/>
                <w:vertAlign w:val="baseline"/>
                <w:lang w:val="en-US" w:eastAsia="zh-CN" w:bidi="ar"/>
              </w:rPr>
              <w:t>3</w:t>
            </w:r>
          </w:p>
        </w:tc>
        <w:tc>
          <w:tcPr>
            <w:tcW w:w="7451" w:type="dxa"/>
          </w:tcPr>
          <w:p w14:paraId="2FF1920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i w:val="0"/>
                <w:iCs w:val="0"/>
                <w:caps w:val="0"/>
                <w:spacing w:val="8"/>
                <w:sz w:val="24"/>
                <w:szCs w:val="24"/>
                <w:shd w:val="clear" w:fill="FFFFFF"/>
              </w:rPr>
            </w:pPr>
            <w:r>
              <w:rPr>
                <w:rStyle w:val="6"/>
                <w:rFonts w:hint="eastAsia" w:ascii="宋体" w:hAnsi="宋体" w:eastAsia="宋体" w:cs="宋体"/>
                <w:i w:val="0"/>
                <w:iCs w:val="0"/>
                <w:caps w:val="0"/>
                <w:spacing w:val="8"/>
                <w:sz w:val="24"/>
                <w:szCs w:val="24"/>
                <w:shd w:val="clear" w:fill="FFFFFF"/>
              </w:rPr>
              <w:t>榜单方向：</w:t>
            </w:r>
            <w:r>
              <w:rPr>
                <w:rStyle w:val="6"/>
                <w:rFonts w:hint="eastAsia" w:ascii="宋体" w:hAnsi="宋体" w:eastAsia="宋体" w:cs="宋体"/>
                <w:b w:val="0"/>
                <w:bCs/>
                <w:i w:val="0"/>
                <w:iCs w:val="0"/>
                <w:caps w:val="0"/>
                <w:spacing w:val="8"/>
                <w:sz w:val="24"/>
                <w:szCs w:val="24"/>
                <w:shd w:val="clear" w:fill="FFFFFF"/>
              </w:rPr>
              <w:t>宏观/微观预应力特种陶瓷创新研究</w:t>
            </w:r>
          </w:p>
          <w:p w14:paraId="5582E8E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i w:val="0"/>
                <w:iCs w:val="0"/>
                <w:caps w:val="0"/>
                <w:spacing w:val="8"/>
                <w:sz w:val="24"/>
                <w:szCs w:val="24"/>
                <w:shd w:val="clear" w:fill="FFFFFF"/>
              </w:rPr>
              <w:t>主要攻关目标：</w:t>
            </w:r>
            <w:r>
              <w:rPr>
                <w:rStyle w:val="6"/>
                <w:rFonts w:hint="eastAsia" w:ascii="宋体" w:hAnsi="宋体" w:eastAsia="宋体" w:cs="宋体"/>
                <w:b w:val="0"/>
                <w:bCs/>
                <w:i w:val="0"/>
                <w:iCs w:val="0"/>
                <w:caps w:val="0"/>
                <w:spacing w:val="8"/>
                <w:sz w:val="24"/>
                <w:szCs w:val="24"/>
                <w:shd w:val="clear" w:fill="FFFFFF"/>
              </w:rPr>
              <w:t>针对特种陶瓷本征脆性限制其产业应用的瓶颈，揭示多尺度预应力抗断裂机制与定量本构关系，阐明宏观长程与微观短程压缩预应力从力学本质上定量抵消裂纹尖端应力集中的机制；突破跨尺度预应力定向设计与精确调控技术，实现强度、韧性与抗冲击性的协同提升；攻克多相材料复合优势与宏-微预应力陶瓷可控制备与规模化生产技术，突破传统特种陶瓷性能极限，弯曲强度、抗冲击性能、防弹性能等提升50%以上，支撑国防抗弹陶瓷与高端装备特种陶瓷关键零件等重大需求。</w:t>
            </w:r>
          </w:p>
          <w:p w14:paraId="1B1CA8B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lang w:val="en-US" w:eastAsia="zh-CN"/>
              </w:rPr>
            </w:pPr>
            <w:r>
              <w:rPr>
                <w:rStyle w:val="6"/>
                <w:rFonts w:hint="eastAsia" w:ascii="宋体" w:hAnsi="宋体" w:eastAsia="宋体" w:cs="宋体"/>
                <w:i w:val="0"/>
                <w:iCs w:val="0"/>
                <w:caps w:val="0"/>
                <w:spacing w:val="8"/>
                <w:sz w:val="24"/>
                <w:szCs w:val="24"/>
                <w:shd w:val="clear" w:fill="FFFFFF"/>
              </w:rPr>
              <w:t>完成时限：</w:t>
            </w:r>
            <w:r>
              <w:rPr>
                <w:rStyle w:val="6"/>
                <w:rFonts w:hint="eastAsia" w:ascii="宋体" w:hAnsi="宋体" w:eastAsia="宋体" w:cs="宋体"/>
                <w:b w:val="0"/>
                <w:bCs/>
                <w:i w:val="0"/>
                <w:iCs w:val="0"/>
                <w:caps w:val="0"/>
                <w:spacing w:val="8"/>
                <w:sz w:val="24"/>
                <w:szCs w:val="24"/>
                <w:shd w:val="clear" w:fill="FFFFFF"/>
              </w:rPr>
              <w:t>4年以内。</w:t>
            </w:r>
          </w:p>
        </w:tc>
      </w:tr>
      <w:tr w14:paraId="7C3D1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71" w:type="dxa"/>
          </w:tcPr>
          <w:p w14:paraId="284B4632">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4BF93E5B">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1F5AED69">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080A1B8B">
            <w:pPr>
              <w:keepNext w:val="0"/>
              <w:keepLines w:val="0"/>
              <w:widowControl/>
              <w:suppressLineNumbers w:val="0"/>
              <w:ind w:firstLine="301" w:firstLineChars="100"/>
              <w:jc w:val="left"/>
              <w:rPr>
                <w:rFonts w:hint="default" w:ascii="宋体" w:hAnsi="宋体" w:eastAsia="宋体" w:cs="宋体"/>
                <w:b/>
                <w:bCs/>
                <w:kern w:val="0"/>
                <w:sz w:val="30"/>
                <w:szCs w:val="30"/>
                <w:vertAlign w:val="baseline"/>
                <w:lang w:val="en-US" w:eastAsia="zh-CN" w:bidi="ar"/>
              </w:rPr>
            </w:pPr>
            <w:r>
              <w:rPr>
                <w:rFonts w:hint="eastAsia" w:ascii="宋体" w:hAnsi="宋体" w:eastAsia="宋体" w:cs="宋体"/>
                <w:b/>
                <w:bCs/>
                <w:kern w:val="0"/>
                <w:sz w:val="30"/>
                <w:szCs w:val="30"/>
                <w:vertAlign w:val="baseline"/>
                <w:lang w:val="en-US" w:eastAsia="zh-CN" w:bidi="ar"/>
              </w:rPr>
              <w:t>4</w:t>
            </w:r>
          </w:p>
        </w:tc>
        <w:tc>
          <w:tcPr>
            <w:tcW w:w="7451" w:type="dxa"/>
          </w:tcPr>
          <w:p w14:paraId="1AF5F16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榜单方向：</w:t>
            </w:r>
            <w:r>
              <w:rPr>
                <w:rStyle w:val="6"/>
                <w:rFonts w:hint="eastAsia" w:ascii="宋体" w:hAnsi="宋体" w:eastAsia="宋体" w:cs="宋体"/>
                <w:b w:val="0"/>
                <w:bCs/>
                <w:i w:val="0"/>
                <w:iCs w:val="0"/>
                <w:caps w:val="0"/>
                <w:spacing w:val="8"/>
                <w:sz w:val="24"/>
                <w:szCs w:val="24"/>
                <w:shd w:val="clear" w:fill="FFFFFF"/>
              </w:rPr>
              <w:t>超厚超大氧化物玻璃结构演化与凝固弛豫基础机理研究</w:t>
            </w:r>
          </w:p>
          <w:p w14:paraId="72EB611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主要攻关目标：</w:t>
            </w:r>
            <w:r>
              <w:rPr>
                <w:rStyle w:val="6"/>
                <w:rFonts w:hint="eastAsia" w:ascii="宋体" w:hAnsi="宋体" w:eastAsia="宋体" w:cs="宋体"/>
                <w:b w:val="0"/>
                <w:bCs/>
                <w:i w:val="0"/>
                <w:iCs w:val="0"/>
                <w:caps w:val="0"/>
                <w:spacing w:val="8"/>
                <w:sz w:val="24"/>
                <w:szCs w:val="24"/>
                <w:shd w:val="clear" w:fill="FFFFFF"/>
              </w:rPr>
              <w:t>面向高端光学玻璃、超大尺寸零膨胀微晶玻璃及熔融石英光刻掩膜板等战略材料国产化需求，攻克超厚（≥200mm）超大（3米级）氧化物玻璃在高温熔制与缓慢冷却过程中的结构演化与弛豫机制。揭示高温玻璃熔体网络拓扑结构形成与演化规律；阐明超大厚度条件下熔体-固化转变机制与转变路径调控；研究缓慢冷却过程中非平衡结构弛豫动力学与均匀化机理；阐明超厚体系残余应力起源、累积与释放调控机制。建立可精准调控微观结构、转变路径、应力演化的理论体系，支撑高质量、高均匀、高稳定光学级玻璃国产化制备，突破国外技术垄断。</w:t>
            </w:r>
          </w:p>
          <w:p w14:paraId="0EA3544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Fonts w:hint="eastAsia" w:ascii="宋体" w:hAnsi="宋体" w:eastAsia="宋体" w:cs="宋体"/>
                <w:b/>
                <w:bCs/>
                <w:kern w:val="0"/>
                <w:sz w:val="30"/>
                <w:szCs w:val="30"/>
                <w:vertAlign w:val="baseline"/>
                <w:lang w:val="en-US" w:eastAsia="zh-CN" w:bidi="ar"/>
              </w:rPr>
            </w:pPr>
            <w:r>
              <w:rPr>
                <w:rStyle w:val="6"/>
                <w:rFonts w:hint="eastAsia" w:ascii="宋体" w:hAnsi="宋体" w:eastAsia="宋体" w:cs="宋体"/>
                <w:b/>
                <w:bCs w:val="0"/>
                <w:i w:val="0"/>
                <w:iCs w:val="0"/>
                <w:caps w:val="0"/>
                <w:spacing w:val="8"/>
                <w:sz w:val="24"/>
                <w:szCs w:val="24"/>
                <w:shd w:val="clear" w:fill="FFFFFF"/>
              </w:rPr>
              <w:t>完成时限：</w:t>
            </w:r>
            <w:r>
              <w:rPr>
                <w:rStyle w:val="6"/>
                <w:rFonts w:hint="eastAsia" w:ascii="宋体" w:hAnsi="宋体" w:eastAsia="宋体" w:cs="宋体"/>
                <w:b w:val="0"/>
                <w:bCs/>
                <w:i w:val="0"/>
                <w:iCs w:val="0"/>
                <w:caps w:val="0"/>
                <w:spacing w:val="8"/>
                <w:sz w:val="24"/>
                <w:szCs w:val="24"/>
                <w:shd w:val="clear" w:fill="FFFFFF"/>
              </w:rPr>
              <w:t>4年以内。</w:t>
            </w:r>
          </w:p>
        </w:tc>
      </w:tr>
      <w:tr w14:paraId="26A6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71" w:type="dxa"/>
          </w:tcPr>
          <w:p w14:paraId="170BD57A">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19A89919">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171F3255">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07A4FC0A">
            <w:pPr>
              <w:keepNext w:val="0"/>
              <w:keepLines w:val="0"/>
              <w:widowControl/>
              <w:suppressLineNumbers w:val="0"/>
              <w:ind w:firstLine="301" w:firstLineChars="100"/>
              <w:jc w:val="left"/>
              <w:rPr>
                <w:rFonts w:hint="default" w:ascii="宋体" w:hAnsi="宋体" w:eastAsia="宋体" w:cs="宋体"/>
                <w:b/>
                <w:bCs/>
                <w:kern w:val="0"/>
                <w:sz w:val="30"/>
                <w:szCs w:val="30"/>
                <w:vertAlign w:val="baseline"/>
                <w:lang w:val="en-US" w:eastAsia="zh-CN" w:bidi="ar"/>
              </w:rPr>
            </w:pPr>
            <w:r>
              <w:rPr>
                <w:rFonts w:hint="eastAsia" w:ascii="宋体" w:hAnsi="宋体" w:eastAsia="宋体" w:cs="宋体"/>
                <w:b/>
                <w:bCs/>
                <w:kern w:val="0"/>
                <w:sz w:val="30"/>
                <w:szCs w:val="30"/>
                <w:vertAlign w:val="baseline"/>
                <w:lang w:val="en-US" w:eastAsia="zh-CN" w:bidi="ar"/>
              </w:rPr>
              <w:t>5</w:t>
            </w:r>
          </w:p>
        </w:tc>
        <w:tc>
          <w:tcPr>
            <w:tcW w:w="7451" w:type="dxa"/>
          </w:tcPr>
          <w:p w14:paraId="1F990B6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榜单方向：</w:t>
            </w:r>
            <w:r>
              <w:rPr>
                <w:rStyle w:val="6"/>
                <w:rFonts w:hint="eastAsia" w:ascii="宋体" w:hAnsi="宋体" w:eastAsia="宋体" w:cs="宋体"/>
                <w:b w:val="0"/>
                <w:bCs/>
                <w:i w:val="0"/>
                <w:iCs w:val="0"/>
                <w:caps w:val="0"/>
                <w:spacing w:val="8"/>
                <w:sz w:val="24"/>
                <w:szCs w:val="24"/>
                <w:shd w:val="clear" w:fill="FFFFFF"/>
              </w:rPr>
              <w:t>石灰石催化还原分解低碳新技术基础研究</w:t>
            </w:r>
          </w:p>
          <w:p w14:paraId="4C7C3E9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主要攻关目标：</w:t>
            </w:r>
            <w:r>
              <w:rPr>
                <w:rStyle w:val="6"/>
                <w:rFonts w:hint="eastAsia" w:ascii="宋体" w:hAnsi="宋体" w:eastAsia="宋体" w:cs="宋体"/>
                <w:b w:val="0"/>
                <w:bCs/>
                <w:i w:val="0"/>
                <w:iCs w:val="0"/>
                <w:caps w:val="0"/>
                <w:spacing w:val="8"/>
                <w:sz w:val="24"/>
                <w:szCs w:val="24"/>
                <w:shd w:val="clear" w:fill="FFFFFF"/>
              </w:rPr>
              <w:t>围绕建材行业深度碳减排的重大需求，研究石灰石催化还原原位转化的本征机制、高效催化体系构效关系、新型供热与反应过程耦合机制等关键科学问题。建立催化剂组成-结构-活性-稳定性的定量关联，开发高活性、高选择性、低成本、适配流化床的催化剂；突破新型供热耦合、催化剂放大成型、连续化运行等瓶颈，形成低成本、可工业化的源头减排技术，搭建新型石灰石催化还原分解原理验证技术平台，连续运行160小时以上，为行业深度脱碳提供技术基础。</w:t>
            </w:r>
          </w:p>
          <w:p w14:paraId="5119E4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bCs w:val="0"/>
                <w:i w:val="0"/>
                <w:iCs w:val="0"/>
                <w:caps w:val="0"/>
                <w:spacing w:val="8"/>
                <w:sz w:val="24"/>
                <w:szCs w:val="24"/>
                <w:shd w:val="clear" w:fill="FFFFFF"/>
                <w:lang w:val="en-US" w:eastAsia="zh-CN"/>
              </w:rPr>
            </w:pPr>
            <w:r>
              <w:rPr>
                <w:rStyle w:val="6"/>
                <w:rFonts w:hint="eastAsia" w:ascii="宋体" w:hAnsi="宋体" w:eastAsia="宋体" w:cs="宋体"/>
                <w:b/>
                <w:bCs w:val="0"/>
                <w:i w:val="0"/>
                <w:iCs w:val="0"/>
                <w:caps w:val="0"/>
                <w:spacing w:val="8"/>
                <w:sz w:val="24"/>
                <w:szCs w:val="24"/>
                <w:shd w:val="clear" w:fill="FFFFFF"/>
              </w:rPr>
              <w:t>完成时限：</w:t>
            </w:r>
            <w:r>
              <w:rPr>
                <w:rStyle w:val="6"/>
                <w:rFonts w:hint="eastAsia" w:ascii="宋体" w:hAnsi="宋体" w:eastAsia="宋体" w:cs="宋体"/>
                <w:b w:val="0"/>
                <w:bCs/>
                <w:i w:val="0"/>
                <w:iCs w:val="0"/>
                <w:caps w:val="0"/>
                <w:spacing w:val="8"/>
                <w:sz w:val="24"/>
                <w:szCs w:val="24"/>
                <w:shd w:val="clear" w:fill="FFFFFF"/>
              </w:rPr>
              <w:t>3年以内。</w:t>
            </w:r>
          </w:p>
        </w:tc>
      </w:tr>
      <w:tr w14:paraId="0A0B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71" w:type="dxa"/>
          </w:tcPr>
          <w:p w14:paraId="0081F338">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667A5DF9">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29B8599D">
            <w:pPr>
              <w:keepNext w:val="0"/>
              <w:keepLines w:val="0"/>
              <w:widowControl/>
              <w:suppressLineNumbers w:val="0"/>
              <w:ind w:firstLine="301" w:firstLineChars="100"/>
              <w:jc w:val="left"/>
              <w:rPr>
                <w:rStyle w:val="6"/>
                <w:rFonts w:hint="default" w:ascii="宋体" w:hAnsi="宋体" w:eastAsia="宋体" w:cs="宋体"/>
                <w:b w:val="0"/>
                <w:bCs/>
                <w:i w:val="0"/>
                <w:iCs w:val="0"/>
                <w:caps w:val="0"/>
                <w:spacing w:val="8"/>
                <w:sz w:val="24"/>
                <w:szCs w:val="24"/>
                <w:shd w:val="clear" w:fill="FFFFFF"/>
                <w:lang w:val="en-US" w:eastAsia="zh-CN"/>
              </w:rPr>
            </w:pPr>
            <w:r>
              <w:rPr>
                <w:rFonts w:hint="eastAsia" w:ascii="宋体" w:hAnsi="宋体" w:eastAsia="宋体" w:cs="宋体"/>
                <w:b/>
                <w:bCs/>
                <w:kern w:val="0"/>
                <w:sz w:val="30"/>
                <w:szCs w:val="30"/>
                <w:vertAlign w:val="baseline"/>
                <w:lang w:val="en-US" w:eastAsia="zh-CN" w:bidi="ar"/>
              </w:rPr>
              <w:t xml:space="preserve">6 </w:t>
            </w:r>
          </w:p>
        </w:tc>
        <w:tc>
          <w:tcPr>
            <w:tcW w:w="7451" w:type="dxa"/>
          </w:tcPr>
          <w:p w14:paraId="0B3B753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榜单方向：</w:t>
            </w:r>
            <w:r>
              <w:rPr>
                <w:rStyle w:val="6"/>
                <w:rFonts w:hint="eastAsia" w:ascii="宋体" w:hAnsi="宋体" w:eastAsia="宋体" w:cs="宋体"/>
                <w:b w:val="0"/>
                <w:bCs/>
                <w:i w:val="0"/>
                <w:iCs w:val="0"/>
                <w:caps w:val="0"/>
                <w:spacing w:val="8"/>
                <w:sz w:val="24"/>
                <w:szCs w:val="24"/>
                <w:shd w:val="clear" w:fill="FFFFFF"/>
              </w:rPr>
              <w:t>宽体飞机大型机身复材壁板制造关键技术</w:t>
            </w:r>
          </w:p>
          <w:p w14:paraId="1B4F230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主要攻关目标：</w:t>
            </w:r>
            <w:r>
              <w:rPr>
                <w:rStyle w:val="6"/>
                <w:rFonts w:hint="eastAsia" w:ascii="宋体" w:hAnsi="宋体" w:eastAsia="宋体" w:cs="宋体"/>
                <w:b w:val="0"/>
                <w:bCs/>
                <w:i w:val="0"/>
                <w:iCs w:val="0"/>
                <w:caps w:val="0"/>
                <w:spacing w:val="8"/>
                <w:sz w:val="24"/>
                <w:szCs w:val="24"/>
                <w:shd w:val="clear" w:fill="FFFFFF"/>
              </w:rPr>
              <w:t>针对宽体飞机复材机身壁板几何构型复杂、制造管控难度大、民航适航质量要求严苛等难题，开展大型壁板共固化成型工艺关键技术攻关。通过全尺寸级大型复材壁板试制，突破大曲率大扭转帽型加筋壁板自动铺放与预成型体超声切割技术，裁切精度控制在±1mm以内，效率提升30%；建立大曲率铺丝路径规划模型，突破复杂碳纤维构件自动铺丝控制技术，铺丝效率提升20%；通过大型航空复材结构件成型工装设计、筒段脱模与精密铣切等技术开发，完成全尺寸壁板的试生产鉴定，支撑宽体飞机研制的重大需求。</w:t>
            </w:r>
          </w:p>
          <w:p w14:paraId="1E2F8FD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lang w:val="en-US" w:eastAsia="zh-CN"/>
              </w:rPr>
            </w:pPr>
            <w:r>
              <w:rPr>
                <w:rStyle w:val="6"/>
                <w:rFonts w:hint="eastAsia" w:ascii="宋体" w:hAnsi="宋体" w:eastAsia="宋体" w:cs="宋体"/>
                <w:b/>
                <w:bCs w:val="0"/>
                <w:i w:val="0"/>
                <w:iCs w:val="0"/>
                <w:caps w:val="0"/>
                <w:spacing w:val="8"/>
                <w:sz w:val="24"/>
                <w:szCs w:val="24"/>
                <w:shd w:val="clear" w:fill="FFFFFF"/>
              </w:rPr>
              <w:t>完成时限：</w:t>
            </w:r>
            <w:r>
              <w:rPr>
                <w:rStyle w:val="6"/>
                <w:rFonts w:hint="eastAsia" w:ascii="宋体" w:hAnsi="宋体" w:eastAsia="宋体" w:cs="宋体"/>
                <w:b w:val="0"/>
                <w:bCs/>
                <w:i w:val="0"/>
                <w:iCs w:val="0"/>
                <w:caps w:val="0"/>
                <w:spacing w:val="8"/>
                <w:sz w:val="24"/>
                <w:szCs w:val="24"/>
                <w:shd w:val="clear" w:fill="FFFFFF"/>
              </w:rPr>
              <w:t>3年以内。</w:t>
            </w:r>
          </w:p>
        </w:tc>
      </w:tr>
      <w:tr w14:paraId="3BFE2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71" w:type="dxa"/>
          </w:tcPr>
          <w:p w14:paraId="6009485E">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669E1D94">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70981134">
            <w:pPr>
              <w:keepNext w:val="0"/>
              <w:keepLines w:val="0"/>
              <w:widowControl/>
              <w:suppressLineNumbers w:val="0"/>
              <w:jc w:val="center"/>
              <w:rPr>
                <w:rStyle w:val="6"/>
                <w:rFonts w:hint="default" w:ascii="宋体" w:hAnsi="宋体" w:eastAsia="宋体" w:cs="宋体"/>
                <w:b w:val="0"/>
                <w:bCs/>
                <w:i w:val="0"/>
                <w:iCs w:val="0"/>
                <w:caps w:val="0"/>
                <w:spacing w:val="8"/>
                <w:sz w:val="24"/>
                <w:szCs w:val="24"/>
                <w:shd w:val="clear" w:fill="FFFFFF"/>
                <w:lang w:val="en-US" w:eastAsia="zh-CN"/>
              </w:rPr>
            </w:pPr>
            <w:r>
              <w:rPr>
                <w:rFonts w:hint="eastAsia" w:ascii="宋体" w:hAnsi="宋体" w:eastAsia="宋体" w:cs="宋体"/>
                <w:b/>
                <w:bCs/>
                <w:kern w:val="0"/>
                <w:sz w:val="30"/>
                <w:szCs w:val="30"/>
                <w:vertAlign w:val="baseline"/>
                <w:lang w:val="en-US" w:eastAsia="zh-CN" w:bidi="ar"/>
              </w:rPr>
              <w:t>7</w:t>
            </w:r>
          </w:p>
        </w:tc>
        <w:tc>
          <w:tcPr>
            <w:tcW w:w="7451" w:type="dxa"/>
          </w:tcPr>
          <w:p w14:paraId="4E6BB29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榜单方向：</w:t>
            </w:r>
            <w:r>
              <w:rPr>
                <w:rStyle w:val="6"/>
                <w:rFonts w:hint="eastAsia" w:ascii="宋体" w:hAnsi="宋体" w:eastAsia="宋体" w:cs="宋体"/>
                <w:b w:val="0"/>
                <w:bCs/>
                <w:i w:val="0"/>
                <w:iCs w:val="0"/>
                <w:caps w:val="0"/>
                <w:spacing w:val="8"/>
                <w:sz w:val="24"/>
                <w:szCs w:val="24"/>
                <w:shd w:val="clear" w:fill="FFFFFF"/>
              </w:rPr>
              <w:t>超薄型玻璃纤维电子布喷气织机关键技术与装备</w:t>
            </w:r>
          </w:p>
          <w:p w14:paraId="6EE12CE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主要攻关目标：</w:t>
            </w:r>
            <w:r>
              <w:rPr>
                <w:rStyle w:val="6"/>
                <w:rFonts w:hint="eastAsia" w:ascii="宋体" w:hAnsi="宋体" w:eastAsia="宋体" w:cs="宋体"/>
                <w:b w:val="0"/>
                <w:bCs/>
                <w:i w:val="0"/>
                <w:iCs w:val="0"/>
                <w:caps w:val="0"/>
                <w:spacing w:val="8"/>
                <w:sz w:val="24"/>
                <w:szCs w:val="24"/>
                <w:shd w:val="clear" w:fill="FFFFFF"/>
              </w:rPr>
              <w:t>针对AI服务器、5G/6G通信、车载电子等对超薄型无碱、低介电、低膨胀玻璃纤维电子布的迫切需求，攻克玻纤喷气织机引纬系统精准张力与长度控制、细旦玻纤经纱及绞边纱均衡张力控制、精准纬纱剪切与纬纱张力配合控制、细旦玻纤纱线通道无损伤过纱等关键技术，开发适用于7μm及以下玻纤电子纱的专用喷气织机，实现超薄型玻璃纤维电子布的稳定高效织造。生产速度达到750rpm及以上，连续无故障运行时长≥720h。</w:t>
            </w:r>
          </w:p>
          <w:p w14:paraId="2FAA3B5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lang w:val="en-US" w:eastAsia="zh-CN"/>
              </w:rPr>
            </w:pPr>
            <w:r>
              <w:rPr>
                <w:rStyle w:val="6"/>
                <w:rFonts w:hint="eastAsia" w:ascii="宋体" w:hAnsi="宋体" w:eastAsia="宋体" w:cs="宋体"/>
                <w:b/>
                <w:bCs w:val="0"/>
                <w:i w:val="0"/>
                <w:iCs w:val="0"/>
                <w:caps w:val="0"/>
                <w:spacing w:val="8"/>
                <w:sz w:val="24"/>
                <w:szCs w:val="24"/>
                <w:shd w:val="clear" w:fill="FFFFFF"/>
              </w:rPr>
              <w:t>完成时限：</w:t>
            </w:r>
            <w:r>
              <w:rPr>
                <w:rStyle w:val="6"/>
                <w:rFonts w:hint="eastAsia" w:ascii="宋体" w:hAnsi="宋体" w:eastAsia="宋体" w:cs="宋体"/>
                <w:b w:val="0"/>
                <w:bCs/>
                <w:i w:val="0"/>
                <w:iCs w:val="0"/>
                <w:caps w:val="0"/>
                <w:spacing w:val="8"/>
                <w:sz w:val="24"/>
                <w:szCs w:val="24"/>
                <w:shd w:val="clear" w:fill="FFFFFF"/>
              </w:rPr>
              <w:t>2年以内。</w:t>
            </w:r>
          </w:p>
        </w:tc>
      </w:tr>
      <w:tr w14:paraId="6B7C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71" w:type="dxa"/>
          </w:tcPr>
          <w:p w14:paraId="10A39CE2">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2A60C5A4">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6D5E863B">
            <w:pPr>
              <w:keepNext w:val="0"/>
              <w:keepLines w:val="0"/>
              <w:widowControl/>
              <w:suppressLineNumbers w:val="0"/>
              <w:ind w:firstLine="301" w:firstLineChars="100"/>
              <w:jc w:val="left"/>
              <w:rPr>
                <w:rFonts w:hint="default" w:ascii="宋体" w:hAnsi="宋体" w:eastAsia="宋体" w:cs="宋体"/>
                <w:b/>
                <w:bCs/>
                <w:kern w:val="0"/>
                <w:sz w:val="30"/>
                <w:szCs w:val="30"/>
                <w:vertAlign w:val="baseline"/>
                <w:lang w:val="en-US" w:eastAsia="zh-CN" w:bidi="ar"/>
              </w:rPr>
            </w:pPr>
            <w:r>
              <w:rPr>
                <w:rFonts w:hint="eastAsia" w:ascii="宋体" w:hAnsi="宋体" w:eastAsia="宋体" w:cs="宋体"/>
                <w:b/>
                <w:bCs/>
                <w:kern w:val="0"/>
                <w:sz w:val="30"/>
                <w:szCs w:val="30"/>
                <w:vertAlign w:val="baseline"/>
                <w:lang w:val="en-US" w:eastAsia="zh-CN" w:bidi="ar"/>
              </w:rPr>
              <w:t>8</w:t>
            </w:r>
          </w:p>
        </w:tc>
        <w:tc>
          <w:tcPr>
            <w:tcW w:w="7451" w:type="dxa"/>
          </w:tcPr>
          <w:p w14:paraId="43F5820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榜单方向：</w:t>
            </w:r>
            <w:r>
              <w:rPr>
                <w:rStyle w:val="6"/>
                <w:rFonts w:hint="eastAsia" w:ascii="宋体" w:hAnsi="宋体" w:eastAsia="宋体" w:cs="宋体"/>
                <w:b w:val="0"/>
                <w:bCs/>
                <w:i w:val="0"/>
                <w:iCs w:val="0"/>
                <w:caps w:val="0"/>
                <w:spacing w:val="8"/>
                <w:sz w:val="24"/>
                <w:szCs w:val="24"/>
                <w:shd w:val="clear" w:fill="FFFFFF"/>
              </w:rPr>
              <w:t>玻璃纤维超细电子纱整浆联合机组关键技术及装备</w:t>
            </w:r>
          </w:p>
          <w:p w14:paraId="34DD10F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主要攻关目标：</w:t>
            </w:r>
            <w:r>
              <w:rPr>
                <w:rStyle w:val="6"/>
                <w:rFonts w:hint="eastAsia" w:ascii="宋体" w:hAnsi="宋体" w:eastAsia="宋体" w:cs="宋体"/>
                <w:b w:val="0"/>
                <w:bCs/>
                <w:i w:val="0"/>
                <w:iCs w:val="0"/>
                <w:caps w:val="0"/>
                <w:spacing w:val="8"/>
                <w:sz w:val="24"/>
                <w:szCs w:val="24"/>
                <w:shd w:val="clear" w:fill="FFFFFF"/>
              </w:rPr>
              <w:t>面向超薄型无碱、低介电、低膨胀玻璃纤维电子布织前准备工序，开发满足1-11tex超细玻纤纱整经上浆要求的整浆联合机组，攻克电磁单纱张力器精密控制、各区张力波动补偿、温度精密控制等关键技术，突破国外设备垄断。单纱张力4-20g可调、波动小于1g，整浆机各区张力波动小于3N，温度控制波动小于1℃，设计速度300m/min。</w:t>
            </w:r>
          </w:p>
          <w:p w14:paraId="061B562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bCs w:val="0"/>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完成时限：</w:t>
            </w:r>
            <w:r>
              <w:rPr>
                <w:rStyle w:val="6"/>
                <w:rFonts w:hint="eastAsia" w:ascii="宋体" w:hAnsi="宋体" w:eastAsia="宋体" w:cs="宋体"/>
                <w:b w:val="0"/>
                <w:bCs/>
                <w:i w:val="0"/>
                <w:iCs w:val="0"/>
                <w:caps w:val="0"/>
                <w:spacing w:val="8"/>
                <w:sz w:val="24"/>
                <w:szCs w:val="24"/>
                <w:shd w:val="clear" w:fill="FFFFFF"/>
              </w:rPr>
              <w:t>2年以内。</w:t>
            </w:r>
          </w:p>
        </w:tc>
      </w:tr>
      <w:tr w14:paraId="1BBCC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71" w:type="dxa"/>
          </w:tcPr>
          <w:p w14:paraId="2BFB642C">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22464012">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19AF6388">
            <w:pPr>
              <w:keepNext w:val="0"/>
              <w:keepLines w:val="0"/>
              <w:widowControl/>
              <w:suppressLineNumbers w:val="0"/>
              <w:jc w:val="center"/>
              <w:rPr>
                <w:rFonts w:hint="default" w:ascii="宋体" w:hAnsi="宋体" w:eastAsia="宋体" w:cs="宋体"/>
                <w:b/>
                <w:bCs/>
                <w:kern w:val="0"/>
                <w:sz w:val="30"/>
                <w:szCs w:val="30"/>
                <w:vertAlign w:val="baseline"/>
                <w:lang w:val="en-US" w:eastAsia="zh-CN" w:bidi="ar"/>
              </w:rPr>
            </w:pPr>
            <w:r>
              <w:rPr>
                <w:rFonts w:hint="eastAsia" w:ascii="宋体" w:hAnsi="宋体" w:eastAsia="宋体" w:cs="宋体"/>
                <w:b/>
                <w:bCs/>
                <w:kern w:val="0"/>
                <w:sz w:val="30"/>
                <w:szCs w:val="30"/>
                <w:vertAlign w:val="baseline"/>
                <w:lang w:val="en-US" w:eastAsia="zh-CN" w:bidi="ar"/>
              </w:rPr>
              <w:t>9</w:t>
            </w:r>
          </w:p>
        </w:tc>
        <w:tc>
          <w:tcPr>
            <w:tcW w:w="7451" w:type="dxa"/>
          </w:tcPr>
          <w:p w14:paraId="32FBB62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榜单方向：</w:t>
            </w:r>
            <w:r>
              <w:rPr>
                <w:rStyle w:val="6"/>
                <w:rFonts w:hint="eastAsia" w:ascii="宋体" w:hAnsi="宋体" w:eastAsia="宋体" w:cs="宋体"/>
                <w:b w:val="0"/>
                <w:bCs/>
                <w:i w:val="0"/>
                <w:iCs w:val="0"/>
                <w:caps w:val="0"/>
                <w:spacing w:val="8"/>
                <w:sz w:val="24"/>
                <w:szCs w:val="24"/>
                <w:shd w:val="clear" w:fill="FFFFFF"/>
              </w:rPr>
              <w:t>硅碳负极规模化生产关键技术</w:t>
            </w:r>
          </w:p>
          <w:p w14:paraId="59F28B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bCs w:val="0"/>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主要攻关目标：</w:t>
            </w:r>
            <w:r>
              <w:rPr>
                <w:rStyle w:val="6"/>
                <w:rFonts w:hint="eastAsia" w:ascii="宋体" w:hAnsi="宋体" w:eastAsia="宋体" w:cs="宋体"/>
                <w:b w:val="0"/>
                <w:bCs/>
                <w:i w:val="0"/>
                <w:iCs w:val="0"/>
                <w:caps w:val="0"/>
                <w:spacing w:val="8"/>
                <w:sz w:val="24"/>
                <w:szCs w:val="24"/>
                <w:shd w:val="clear" w:fill="FFFFFF"/>
              </w:rPr>
              <w:t>面向高比容量储能需求，突破国外硅烷CVD工艺专利壁垒，开发自主知识产权的硅碳负极制备新技术，构建“核-缓冲层-碳壳”梯度复合结构，建设高首效、低膨胀、高一致性的硅碳负极生产线。产品批次一致性CV≤3%，首效达92%，首圈放电容量≥1800mAh/g，1C倍率循环500周容量保持率≥80%，满电膨胀率≤20%，综合制备成本较硅烷CVD工艺路线降低30%以上。</w:t>
            </w:r>
          </w:p>
          <w:p w14:paraId="500D226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bCs w:val="0"/>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完成时限：</w:t>
            </w:r>
            <w:r>
              <w:rPr>
                <w:rStyle w:val="6"/>
                <w:rFonts w:hint="eastAsia" w:ascii="宋体" w:hAnsi="宋体" w:eastAsia="宋体" w:cs="宋体"/>
                <w:b w:val="0"/>
                <w:bCs/>
                <w:i w:val="0"/>
                <w:iCs w:val="0"/>
                <w:caps w:val="0"/>
                <w:spacing w:val="8"/>
                <w:sz w:val="24"/>
                <w:szCs w:val="24"/>
                <w:shd w:val="clear" w:fill="FFFFFF"/>
              </w:rPr>
              <w:t>2年以内。</w:t>
            </w:r>
          </w:p>
        </w:tc>
      </w:tr>
      <w:tr w14:paraId="5A47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71" w:type="dxa"/>
          </w:tcPr>
          <w:p w14:paraId="5D8EB240">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7048F1EB">
            <w:pPr>
              <w:keepNext w:val="0"/>
              <w:keepLines w:val="0"/>
              <w:widowControl/>
              <w:suppressLineNumbers w:val="0"/>
              <w:jc w:val="center"/>
              <w:rPr>
                <w:rFonts w:hint="default" w:ascii="宋体" w:hAnsi="宋体" w:eastAsia="宋体" w:cs="宋体"/>
                <w:b/>
                <w:bCs/>
                <w:kern w:val="0"/>
                <w:sz w:val="30"/>
                <w:szCs w:val="30"/>
                <w:vertAlign w:val="baseline"/>
                <w:lang w:val="en-US" w:eastAsia="zh-CN" w:bidi="ar"/>
              </w:rPr>
            </w:pPr>
            <w:r>
              <w:rPr>
                <w:rFonts w:hint="eastAsia" w:ascii="宋体" w:hAnsi="宋体" w:eastAsia="宋体" w:cs="宋体"/>
                <w:b/>
                <w:bCs/>
                <w:kern w:val="0"/>
                <w:sz w:val="30"/>
                <w:szCs w:val="30"/>
                <w:vertAlign w:val="baseline"/>
                <w:lang w:val="en-US" w:eastAsia="zh-CN" w:bidi="ar"/>
              </w:rPr>
              <w:t>10</w:t>
            </w:r>
          </w:p>
        </w:tc>
        <w:tc>
          <w:tcPr>
            <w:tcW w:w="7451" w:type="dxa"/>
          </w:tcPr>
          <w:p w14:paraId="0BCFEC6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榜单方向：</w:t>
            </w:r>
            <w:r>
              <w:rPr>
                <w:rStyle w:val="6"/>
                <w:rFonts w:hint="eastAsia" w:ascii="宋体" w:hAnsi="宋体" w:eastAsia="宋体" w:cs="宋体"/>
                <w:b w:val="0"/>
                <w:bCs/>
                <w:i w:val="0"/>
                <w:iCs w:val="0"/>
                <w:caps w:val="0"/>
                <w:spacing w:val="8"/>
                <w:sz w:val="24"/>
                <w:szCs w:val="24"/>
                <w:shd w:val="clear" w:fill="FFFFFF"/>
              </w:rPr>
              <w:t>医用高抗菌防水透气矿物材料关键技术及应用</w:t>
            </w:r>
          </w:p>
          <w:p w14:paraId="0CD9311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bCs w:val="0"/>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主要攻关目标：</w:t>
            </w:r>
            <w:r>
              <w:rPr>
                <w:rStyle w:val="6"/>
                <w:rFonts w:hint="eastAsia" w:ascii="宋体" w:hAnsi="宋体" w:eastAsia="宋体" w:cs="宋体"/>
                <w:b w:val="0"/>
                <w:bCs/>
                <w:i w:val="0"/>
                <w:iCs w:val="0"/>
                <w:caps w:val="0"/>
                <w:spacing w:val="8"/>
                <w:sz w:val="24"/>
                <w:szCs w:val="24"/>
                <w:shd w:val="clear" w:fill="FFFFFF"/>
              </w:rPr>
              <w:t>以非金属矿物为基材，通过矿物表面活化改性与聚合物基体界面相容性分子调控，开发具有高抗菌防水透气功能的矿物基复合薄膜，突破矿物纳米化与表面活化改性工程化、抗菌防水透气三项功能协同调控等关键技术。矿物基复合薄膜对金黄色葡萄球菌和大肠杆菌抗菌率≥99%，表面水接触角≥120°，静水压耐受性≥120cmH2O，水蒸气透过率≥3000 g/(m2∙24h)，拉伸强度≥15 MPa，断裂伸长率≥100%，产品综合性能优于国外同类产品，建成矿物基复合薄膜生产线。</w:t>
            </w:r>
          </w:p>
          <w:p w14:paraId="69693BA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bCs w:val="0"/>
                <w:i w:val="0"/>
                <w:iCs w:val="0"/>
                <w:caps w:val="0"/>
                <w:spacing w:val="8"/>
                <w:sz w:val="24"/>
                <w:szCs w:val="24"/>
                <w:shd w:val="clear" w:fill="FFFFFF"/>
              </w:rPr>
            </w:pPr>
            <w:r>
              <w:rPr>
                <w:rStyle w:val="6"/>
                <w:rFonts w:hint="eastAsia" w:ascii="宋体" w:hAnsi="宋体" w:eastAsia="宋体" w:cs="宋体"/>
                <w:b/>
                <w:bCs w:val="0"/>
                <w:i w:val="0"/>
                <w:iCs w:val="0"/>
                <w:caps w:val="0"/>
                <w:spacing w:val="8"/>
                <w:sz w:val="24"/>
                <w:szCs w:val="24"/>
                <w:shd w:val="clear" w:fill="FFFFFF"/>
              </w:rPr>
              <w:t>完成时限：</w:t>
            </w:r>
            <w:r>
              <w:rPr>
                <w:rStyle w:val="6"/>
                <w:rFonts w:hint="eastAsia" w:ascii="宋体" w:hAnsi="宋体" w:eastAsia="宋体" w:cs="宋体"/>
                <w:b w:val="0"/>
                <w:bCs/>
                <w:i w:val="0"/>
                <w:iCs w:val="0"/>
                <w:caps w:val="0"/>
                <w:spacing w:val="8"/>
                <w:sz w:val="24"/>
                <w:szCs w:val="24"/>
                <w:shd w:val="clear" w:fill="FFFFFF"/>
              </w:rPr>
              <w:t>2年以内。</w:t>
            </w:r>
          </w:p>
        </w:tc>
      </w:tr>
      <w:tr w14:paraId="3756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71" w:type="dxa"/>
          </w:tcPr>
          <w:p w14:paraId="080A563E">
            <w:pPr>
              <w:keepNext w:val="0"/>
              <w:keepLines w:val="0"/>
              <w:widowControl/>
              <w:suppressLineNumbers w:val="0"/>
              <w:ind w:firstLine="300" w:firstLineChars="100"/>
              <w:jc w:val="left"/>
              <w:rPr>
                <w:rFonts w:hint="eastAsia" w:ascii="宋体" w:hAnsi="宋体" w:eastAsia="宋体" w:cs="宋体"/>
                <w:b w:val="0"/>
                <w:bCs w:val="0"/>
                <w:kern w:val="0"/>
                <w:sz w:val="30"/>
                <w:szCs w:val="30"/>
                <w:vertAlign w:val="baseline"/>
                <w:lang w:val="en-US" w:eastAsia="zh-CN" w:bidi="ar"/>
              </w:rPr>
            </w:pPr>
          </w:p>
          <w:p w14:paraId="20F7E35D">
            <w:pPr>
              <w:keepNext w:val="0"/>
              <w:keepLines w:val="0"/>
              <w:widowControl/>
              <w:suppressLineNumbers w:val="0"/>
              <w:ind w:firstLine="300" w:firstLineChars="100"/>
              <w:jc w:val="left"/>
              <w:rPr>
                <w:rFonts w:hint="eastAsia" w:ascii="宋体" w:hAnsi="宋体" w:eastAsia="宋体" w:cs="宋体"/>
                <w:b w:val="0"/>
                <w:bCs w:val="0"/>
                <w:kern w:val="0"/>
                <w:sz w:val="30"/>
                <w:szCs w:val="30"/>
                <w:vertAlign w:val="baseline"/>
                <w:lang w:val="en-US" w:eastAsia="zh-CN" w:bidi="ar"/>
              </w:rPr>
            </w:pPr>
          </w:p>
          <w:p w14:paraId="109FA86E">
            <w:pPr>
              <w:keepNext w:val="0"/>
              <w:keepLines w:val="0"/>
              <w:widowControl/>
              <w:suppressLineNumbers w:val="0"/>
              <w:ind w:firstLine="300" w:firstLineChars="100"/>
              <w:jc w:val="left"/>
              <w:rPr>
                <w:rFonts w:hint="eastAsia" w:ascii="宋体" w:hAnsi="宋体" w:eastAsia="宋体" w:cs="宋体"/>
                <w:b w:val="0"/>
                <w:bCs w:val="0"/>
                <w:kern w:val="0"/>
                <w:sz w:val="30"/>
                <w:szCs w:val="30"/>
                <w:vertAlign w:val="baseline"/>
                <w:lang w:val="en-US" w:eastAsia="zh-CN" w:bidi="ar"/>
              </w:rPr>
            </w:pPr>
          </w:p>
          <w:p w14:paraId="6DDCE87A">
            <w:pPr>
              <w:keepNext w:val="0"/>
              <w:keepLines w:val="0"/>
              <w:widowControl/>
              <w:suppressLineNumbers w:val="0"/>
              <w:jc w:val="center"/>
              <w:rPr>
                <w:rFonts w:hint="default" w:ascii="宋体" w:hAnsi="宋体" w:eastAsia="宋体" w:cs="宋体"/>
                <w:b w:val="0"/>
                <w:bCs w:val="0"/>
                <w:kern w:val="0"/>
                <w:sz w:val="30"/>
                <w:szCs w:val="30"/>
                <w:vertAlign w:val="baseline"/>
                <w:lang w:val="en-US" w:eastAsia="zh-CN" w:bidi="ar"/>
              </w:rPr>
            </w:pPr>
            <w:r>
              <w:rPr>
                <w:rFonts w:hint="eastAsia" w:ascii="宋体" w:hAnsi="宋体" w:eastAsia="宋体" w:cs="宋体"/>
                <w:b/>
                <w:bCs/>
                <w:kern w:val="0"/>
                <w:sz w:val="30"/>
                <w:szCs w:val="30"/>
                <w:vertAlign w:val="baseline"/>
                <w:lang w:val="en-US" w:eastAsia="zh-CN" w:bidi="ar"/>
              </w:rPr>
              <w:t>11</w:t>
            </w:r>
          </w:p>
        </w:tc>
        <w:tc>
          <w:tcPr>
            <w:tcW w:w="7451" w:type="dxa"/>
          </w:tcPr>
          <w:p w14:paraId="34C9A3B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val="0"/>
                <w:i w:val="0"/>
                <w:iCs w:val="0"/>
                <w:caps w:val="0"/>
                <w:spacing w:val="8"/>
                <w:sz w:val="24"/>
                <w:szCs w:val="24"/>
                <w:shd w:val="clear" w:fill="FFFFFF"/>
              </w:rPr>
            </w:pPr>
            <w:r>
              <w:rPr>
                <w:rStyle w:val="6"/>
                <w:rFonts w:hint="eastAsia" w:ascii="宋体" w:hAnsi="宋体" w:eastAsia="宋体" w:cs="宋体"/>
                <w:b/>
                <w:bCs/>
                <w:i w:val="0"/>
                <w:iCs w:val="0"/>
                <w:caps w:val="0"/>
                <w:spacing w:val="8"/>
                <w:sz w:val="24"/>
                <w:szCs w:val="24"/>
                <w:shd w:val="clear" w:fill="FFFFFF"/>
              </w:rPr>
              <w:t>榜单方向：</w:t>
            </w:r>
            <w:r>
              <w:rPr>
                <w:rStyle w:val="6"/>
                <w:rFonts w:hint="eastAsia" w:ascii="宋体" w:hAnsi="宋体" w:eastAsia="宋体" w:cs="宋体"/>
                <w:b w:val="0"/>
                <w:bCs w:val="0"/>
                <w:i w:val="0"/>
                <w:iCs w:val="0"/>
                <w:caps w:val="0"/>
                <w:spacing w:val="8"/>
                <w:sz w:val="24"/>
                <w:szCs w:val="24"/>
                <w:shd w:val="clear" w:fill="FFFFFF"/>
              </w:rPr>
              <w:t>复杂结构与功能建材制品3D打印关键技术及应用</w:t>
            </w:r>
          </w:p>
          <w:p w14:paraId="6727721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val="0"/>
                <w:i w:val="0"/>
                <w:iCs w:val="0"/>
                <w:caps w:val="0"/>
                <w:spacing w:val="8"/>
                <w:sz w:val="24"/>
                <w:szCs w:val="24"/>
                <w:shd w:val="clear" w:fill="FFFFFF"/>
              </w:rPr>
            </w:pPr>
            <w:r>
              <w:rPr>
                <w:rStyle w:val="6"/>
                <w:rFonts w:hint="eastAsia" w:ascii="宋体" w:hAnsi="宋体" w:eastAsia="宋体" w:cs="宋体"/>
                <w:b/>
                <w:bCs/>
                <w:i w:val="0"/>
                <w:iCs w:val="0"/>
                <w:caps w:val="0"/>
                <w:spacing w:val="8"/>
                <w:sz w:val="24"/>
                <w:szCs w:val="24"/>
                <w:shd w:val="clear" w:fill="FFFFFF"/>
              </w:rPr>
              <w:t>主要攻关目标：</w:t>
            </w:r>
            <w:r>
              <w:rPr>
                <w:rStyle w:val="6"/>
                <w:rFonts w:hint="eastAsia" w:ascii="宋体" w:hAnsi="宋体" w:eastAsia="宋体" w:cs="宋体"/>
                <w:b w:val="0"/>
                <w:bCs w:val="0"/>
                <w:i w:val="0"/>
                <w:iCs w:val="0"/>
                <w:caps w:val="0"/>
                <w:spacing w:val="8"/>
                <w:sz w:val="24"/>
                <w:szCs w:val="24"/>
                <w:shd w:val="clear" w:fill="FFFFFF"/>
              </w:rPr>
              <w:t>围绕多曲面、复杂构型等结构与功能建材制品制造，研究3D打印路径拓扑优化与智能路径规划设计算法，研发增减材协同一体化3D打印工艺、新型粘结剂及其精准打印成套技术。突破结构部件配筋3D打印技术，结构部件28d抗压强度≥60MPa，层间抗拉强度≥1.3MPa，层间抗剪强度≥2MPa；开发声子晶体隔声降噪板材等复杂几何结构功能部品，总收缩应变不超过900με，粘结剂喷射打印精度最高达0.2mm，250Hz吸声系数≥0.4，500Hz以上频段吸声系数≥0.5，实现工程示范应用。</w:t>
            </w:r>
          </w:p>
          <w:p w14:paraId="45777DF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val="0"/>
                <w:i w:val="0"/>
                <w:iCs w:val="0"/>
                <w:caps w:val="0"/>
                <w:spacing w:val="8"/>
                <w:sz w:val="24"/>
                <w:szCs w:val="24"/>
                <w:shd w:val="clear" w:fill="FFFFFF"/>
              </w:rPr>
            </w:pPr>
            <w:r>
              <w:rPr>
                <w:rStyle w:val="6"/>
                <w:rFonts w:hint="eastAsia" w:ascii="宋体" w:hAnsi="宋体" w:eastAsia="宋体" w:cs="宋体"/>
                <w:b/>
                <w:bCs/>
                <w:i w:val="0"/>
                <w:iCs w:val="0"/>
                <w:caps w:val="0"/>
                <w:spacing w:val="8"/>
                <w:sz w:val="24"/>
                <w:szCs w:val="24"/>
                <w:shd w:val="clear" w:fill="FFFFFF"/>
              </w:rPr>
              <w:t>完成时限：</w:t>
            </w:r>
            <w:r>
              <w:rPr>
                <w:rStyle w:val="6"/>
                <w:rFonts w:hint="eastAsia" w:ascii="宋体" w:hAnsi="宋体" w:eastAsia="宋体" w:cs="宋体"/>
                <w:b w:val="0"/>
                <w:bCs w:val="0"/>
                <w:i w:val="0"/>
                <w:iCs w:val="0"/>
                <w:caps w:val="0"/>
                <w:spacing w:val="8"/>
                <w:sz w:val="24"/>
                <w:szCs w:val="24"/>
                <w:shd w:val="clear" w:fill="FFFFFF"/>
              </w:rPr>
              <w:t>3年以内。</w:t>
            </w:r>
          </w:p>
        </w:tc>
      </w:tr>
      <w:tr w14:paraId="6216C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071" w:type="dxa"/>
          </w:tcPr>
          <w:p w14:paraId="666056F3">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6954F895">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351DE8BB">
            <w:pPr>
              <w:keepNext w:val="0"/>
              <w:keepLines w:val="0"/>
              <w:widowControl/>
              <w:suppressLineNumbers w:val="0"/>
              <w:ind w:firstLine="301" w:firstLineChars="100"/>
              <w:jc w:val="left"/>
              <w:rPr>
                <w:rFonts w:hint="eastAsia" w:ascii="宋体" w:hAnsi="宋体" w:eastAsia="宋体" w:cs="宋体"/>
                <w:b/>
                <w:bCs/>
                <w:kern w:val="0"/>
                <w:sz w:val="30"/>
                <w:szCs w:val="30"/>
                <w:vertAlign w:val="baseline"/>
                <w:lang w:val="en-US" w:eastAsia="zh-CN" w:bidi="ar"/>
              </w:rPr>
            </w:pPr>
          </w:p>
          <w:p w14:paraId="17342E07">
            <w:pPr>
              <w:keepNext w:val="0"/>
              <w:keepLines w:val="0"/>
              <w:widowControl/>
              <w:suppressLineNumbers w:val="0"/>
              <w:ind w:firstLine="301" w:firstLineChars="100"/>
              <w:jc w:val="left"/>
              <w:rPr>
                <w:rFonts w:hint="default" w:ascii="宋体" w:hAnsi="宋体" w:eastAsia="宋体" w:cs="宋体"/>
                <w:b/>
                <w:bCs/>
                <w:kern w:val="0"/>
                <w:sz w:val="30"/>
                <w:szCs w:val="30"/>
                <w:vertAlign w:val="baseline"/>
                <w:lang w:val="en-US" w:eastAsia="zh-CN" w:bidi="ar"/>
              </w:rPr>
            </w:pPr>
            <w:bookmarkStart w:id="0" w:name="_GoBack"/>
            <w:bookmarkEnd w:id="0"/>
            <w:r>
              <w:rPr>
                <w:rFonts w:hint="eastAsia" w:ascii="宋体" w:hAnsi="宋体" w:eastAsia="宋体" w:cs="宋体"/>
                <w:b/>
                <w:bCs/>
                <w:kern w:val="0"/>
                <w:sz w:val="30"/>
                <w:szCs w:val="30"/>
                <w:vertAlign w:val="baseline"/>
                <w:lang w:val="en-US" w:eastAsia="zh-CN" w:bidi="ar"/>
              </w:rPr>
              <w:t>12</w:t>
            </w:r>
          </w:p>
        </w:tc>
        <w:tc>
          <w:tcPr>
            <w:tcW w:w="7451" w:type="dxa"/>
          </w:tcPr>
          <w:p w14:paraId="5911677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val="0"/>
                <w:i w:val="0"/>
                <w:iCs w:val="0"/>
                <w:caps w:val="0"/>
                <w:spacing w:val="8"/>
                <w:sz w:val="24"/>
                <w:szCs w:val="24"/>
                <w:shd w:val="clear" w:fill="FFFFFF"/>
              </w:rPr>
            </w:pPr>
            <w:r>
              <w:rPr>
                <w:rStyle w:val="6"/>
                <w:rFonts w:hint="eastAsia" w:ascii="宋体" w:hAnsi="宋体" w:eastAsia="宋体" w:cs="宋体"/>
                <w:b/>
                <w:bCs/>
                <w:i w:val="0"/>
                <w:iCs w:val="0"/>
                <w:caps w:val="0"/>
                <w:spacing w:val="8"/>
                <w:sz w:val="24"/>
                <w:szCs w:val="24"/>
                <w:shd w:val="clear" w:fill="FFFFFF"/>
              </w:rPr>
              <w:t>榜单方向：</w:t>
            </w:r>
            <w:r>
              <w:rPr>
                <w:rStyle w:val="6"/>
                <w:rFonts w:hint="eastAsia" w:ascii="宋体" w:hAnsi="宋体" w:eastAsia="宋体" w:cs="宋体"/>
                <w:b w:val="0"/>
                <w:bCs w:val="0"/>
                <w:i w:val="0"/>
                <w:iCs w:val="0"/>
                <w:caps w:val="0"/>
                <w:spacing w:val="8"/>
                <w:sz w:val="24"/>
                <w:szCs w:val="24"/>
                <w:shd w:val="clear" w:fill="FFFFFF"/>
              </w:rPr>
              <w:t>低品位矿产资源绿色提质与废渣高值化利用关键技术及示范</w:t>
            </w:r>
          </w:p>
          <w:p w14:paraId="624CE9B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val="0"/>
                <w:i w:val="0"/>
                <w:iCs w:val="0"/>
                <w:caps w:val="0"/>
                <w:spacing w:val="8"/>
                <w:sz w:val="24"/>
                <w:szCs w:val="24"/>
                <w:shd w:val="clear" w:fill="FFFFFF"/>
              </w:rPr>
            </w:pPr>
            <w:r>
              <w:rPr>
                <w:rStyle w:val="6"/>
                <w:rFonts w:hint="eastAsia" w:ascii="宋体" w:hAnsi="宋体" w:eastAsia="宋体" w:cs="宋体"/>
                <w:b/>
                <w:bCs/>
                <w:i w:val="0"/>
                <w:iCs w:val="0"/>
                <w:caps w:val="0"/>
                <w:spacing w:val="8"/>
                <w:sz w:val="24"/>
                <w:szCs w:val="24"/>
                <w:shd w:val="clear" w:fill="FFFFFF"/>
              </w:rPr>
              <w:t>主要攻关目标：</w:t>
            </w:r>
            <w:r>
              <w:rPr>
                <w:rStyle w:val="6"/>
                <w:rFonts w:hint="eastAsia" w:ascii="宋体" w:hAnsi="宋体" w:eastAsia="宋体" w:cs="宋体"/>
                <w:b w:val="0"/>
                <w:bCs w:val="0"/>
                <w:i w:val="0"/>
                <w:iCs w:val="0"/>
                <w:caps w:val="0"/>
                <w:spacing w:val="8"/>
                <w:sz w:val="24"/>
                <w:szCs w:val="24"/>
                <w:shd w:val="clear" w:fill="FFFFFF"/>
              </w:rPr>
              <w:t>围绕低品位锰、钒、磷、锂等新型储能关键矿物利用率低、伴生固废环境风险高等问题，研究低品位资源高效提纯、冶炼废渣无害化处理与污染组分资源化利用、无害化渣耦合多元固废协同制备高值化利用关键技术，形成“低品位资源高效利用—冶炼废渣无害化调控—多元固废协同制备高值化建材”全流程成套技术与装备体系。提纯后矿物品位提升5%以上，开发不少于3种固废基新材料，提纯后废渣建材化利用固废掺量≥50%，实现工程示范。</w:t>
            </w:r>
          </w:p>
          <w:p w14:paraId="264CB2C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bCs w:val="0"/>
                <w:i w:val="0"/>
                <w:iCs w:val="0"/>
                <w:caps w:val="0"/>
                <w:spacing w:val="8"/>
                <w:sz w:val="24"/>
                <w:szCs w:val="24"/>
                <w:shd w:val="clear" w:fill="FFFFFF"/>
              </w:rPr>
            </w:pPr>
            <w:r>
              <w:rPr>
                <w:rStyle w:val="6"/>
                <w:rFonts w:hint="eastAsia" w:ascii="宋体" w:hAnsi="宋体" w:eastAsia="宋体" w:cs="宋体"/>
                <w:b/>
                <w:bCs/>
                <w:i w:val="0"/>
                <w:iCs w:val="0"/>
                <w:caps w:val="0"/>
                <w:spacing w:val="8"/>
                <w:sz w:val="24"/>
                <w:szCs w:val="24"/>
                <w:shd w:val="clear" w:fill="FFFFFF"/>
              </w:rPr>
              <w:t>完成时限：</w:t>
            </w:r>
            <w:r>
              <w:rPr>
                <w:rStyle w:val="6"/>
                <w:rFonts w:hint="eastAsia" w:ascii="宋体" w:hAnsi="宋体" w:eastAsia="宋体" w:cs="宋体"/>
                <w:b w:val="0"/>
                <w:bCs w:val="0"/>
                <w:i w:val="0"/>
                <w:iCs w:val="0"/>
                <w:caps w:val="0"/>
                <w:spacing w:val="8"/>
                <w:sz w:val="24"/>
                <w:szCs w:val="24"/>
                <w:shd w:val="clear" w:fill="FFFFFF"/>
              </w:rPr>
              <w:t>2年以内。</w:t>
            </w:r>
          </w:p>
        </w:tc>
      </w:tr>
    </w:tbl>
    <w:p w14:paraId="7C191D1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20" w:lineRule="exact"/>
        <w:ind w:left="0" w:right="0" w:firstLine="0"/>
        <w:jc w:val="both"/>
        <w:textAlignment w:val="auto"/>
        <w:rPr>
          <w:rStyle w:val="6"/>
          <w:rFonts w:hint="eastAsia" w:ascii="宋体" w:hAnsi="宋体" w:eastAsia="宋体" w:cs="宋体"/>
          <w:b w:val="0"/>
          <w:bCs/>
          <w:i w:val="0"/>
          <w:iCs w:val="0"/>
          <w:caps w:val="0"/>
          <w:spacing w:val="8"/>
          <w:sz w:val="24"/>
          <w:szCs w:val="24"/>
          <w:shd w:val="clear" w:fill="FFFFFF"/>
          <w:lang w:val="en-US" w:eastAsia="zh-CN"/>
        </w:rPr>
      </w:pPr>
    </w:p>
    <w:p w14:paraId="69E58F7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C80EE1"/>
    <w:rsid w:val="17C80EE1"/>
    <w:rsid w:val="6F930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281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2026-09-29T01:15:00Z</dcterms:created>
  <dc:creator>Kyoya0120</dc:creator>
  <cp:lastModifiedBy>Kyoya0120</cp:lastModifiedBy>
  <dcterms:modified xsi:type="dcterms:W3CDTF">2026-09-29T06:02:13Z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926B241CD49D442E84C6F13825E6A2F2_11</vt:lpwstr>
  </property>
  <property fmtid="{D5CDD505-2E9C-101B-9397-08002B2CF9AE}" pid="4" name="KSOTemplateDocerSaveRecord">
    <vt:lpwstr>eyJoZGlkIjoiZjlkM2I2MzM1NDc0ZjI2YjlmNjY0MDZhN2VjODNkOTkiLCJ1c2VySWQiOiIzNDg3NTc4ODkifQ==</vt:lpwstr>
  </property>
</Properties>
</file>